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CD" w:rsidRDefault="001000C6">
      <w:pPr>
        <w:rPr>
          <w:b/>
          <w:sz w:val="28"/>
          <w:szCs w:val="28"/>
          <w:lang w:val="en-GB"/>
        </w:rPr>
      </w:pPr>
      <w:r w:rsidRPr="001000C6">
        <w:rPr>
          <w:b/>
          <w:sz w:val="28"/>
          <w:szCs w:val="28"/>
          <w:lang w:val="en-GB"/>
        </w:rPr>
        <w:t>Transport report to BSSSC Board meeting 29 Septe</w:t>
      </w:r>
      <w:bookmarkStart w:id="0" w:name="_GoBack"/>
      <w:bookmarkEnd w:id="0"/>
      <w:r w:rsidRPr="001000C6">
        <w:rPr>
          <w:b/>
          <w:sz w:val="28"/>
          <w:szCs w:val="28"/>
          <w:lang w:val="en-GB"/>
        </w:rPr>
        <w:t xml:space="preserve">mber 2020 </w:t>
      </w:r>
    </w:p>
    <w:p w:rsidR="001000C6" w:rsidRDefault="00F56639">
      <w:pPr>
        <w:rPr>
          <w:b/>
          <w:sz w:val="24"/>
          <w:szCs w:val="24"/>
          <w:lang w:val="en-GB"/>
        </w:rPr>
      </w:pPr>
      <w:r>
        <w:rPr>
          <w:b/>
          <w:sz w:val="24"/>
          <w:szCs w:val="24"/>
          <w:lang w:val="en-GB"/>
        </w:rPr>
        <w:t>Recent EU transport policy developments</w:t>
      </w:r>
    </w:p>
    <w:p w:rsidR="00F56639" w:rsidRDefault="00F56639" w:rsidP="00F56639">
      <w:pPr>
        <w:tabs>
          <w:tab w:val="left" w:pos="5760"/>
        </w:tabs>
        <w:spacing w:before="60" w:after="60"/>
        <w:rPr>
          <w:bCs/>
          <w:sz w:val="24"/>
          <w:szCs w:val="24"/>
          <w:u w:val="single"/>
          <w:lang w:val="en-US"/>
        </w:rPr>
      </w:pPr>
      <w:r>
        <w:rPr>
          <w:bCs/>
          <w:sz w:val="24"/>
          <w:szCs w:val="24"/>
          <w:u w:val="single"/>
          <w:lang w:val="en-US"/>
        </w:rPr>
        <w:t>Preparation of new strategy for Sustainable and Smart Mobility</w:t>
      </w:r>
    </w:p>
    <w:p w:rsidR="00F56639" w:rsidRDefault="00F56639" w:rsidP="00F56639">
      <w:pPr>
        <w:pStyle w:val="Default"/>
        <w:rPr>
          <w:lang w:val="en-GB"/>
        </w:rPr>
      </w:pPr>
      <w:r>
        <w:rPr>
          <w:bCs/>
          <w:lang w:val="en-US"/>
        </w:rPr>
        <w:t xml:space="preserve">The European Commission is in the process of preparing a </w:t>
      </w:r>
      <w:r>
        <w:rPr>
          <w:sz w:val="23"/>
          <w:szCs w:val="23"/>
          <w:lang w:val="en-GB"/>
        </w:rPr>
        <w:t>strategy for Sustainable and Smart Mobility.</w:t>
      </w:r>
      <w:r>
        <w:rPr>
          <w:bCs/>
          <w:lang w:val="en-US"/>
        </w:rPr>
        <w:t xml:space="preserve"> </w:t>
      </w:r>
      <w:proofErr w:type="gramStart"/>
      <w:r>
        <w:rPr>
          <w:bCs/>
          <w:lang w:val="en-US"/>
        </w:rPr>
        <w:t>While taking into consideration the impact of the COVID-19 pandemic on the transport sector, the strategy aims to set a pathway for the sector towards the sustainable and digital transitions, building a resilient and crisis-proof transport system for generations to come and delivering on the ambition set out in the European Green Deal and Europe Fit for the Digital Age Communications.</w:t>
      </w:r>
      <w:proofErr w:type="gramEnd"/>
    </w:p>
    <w:p w:rsidR="00F56639" w:rsidRDefault="00F56639" w:rsidP="00F56639">
      <w:pPr>
        <w:tabs>
          <w:tab w:val="left" w:pos="5760"/>
        </w:tabs>
        <w:spacing w:before="60" w:after="60"/>
        <w:rPr>
          <w:bCs/>
          <w:sz w:val="24"/>
          <w:szCs w:val="24"/>
          <w:u w:val="single"/>
          <w:lang w:val="en-GB"/>
        </w:rPr>
      </w:pPr>
    </w:p>
    <w:p w:rsidR="00F56639" w:rsidRDefault="00F56639" w:rsidP="00F56639">
      <w:pPr>
        <w:tabs>
          <w:tab w:val="left" w:pos="5760"/>
        </w:tabs>
        <w:spacing w:before="60" w:after="60"/>
        <w:rPr>
          <w:bCs/>
          <w:sz w:val="24"/>
          <w:szCs w:val="24"/>
          <w:lang w:val="en-US"/>
        </w:rPr>
      </w:pPr>
      <w:r>
        <w:rPr>
          <w:bCs/>
          <w:sz w:val="24"/>
          <w:szCs w:val="24"/>
          <w:lang w:val="en-US"/>
        </w:rPr>
        <w:t xml:space="preserve">The Commission has launched a public consultation as a basis for drafting the </w:t>
      </w:r>
      <w:proofErr w:type="gramStart"/>
      <w:r>
        <w:rPr>
          <w:bCs/>
          <w:sz w:val="24"/>
          <w:szCs w:val="24"/>
          <w:lang w:val="en-US"/>
        </w:rPr>
        <w:t>strategy</w:t>
      </w:r>
      <w:r w:rsidR="00D069C4">
        <w:rPr>
          <w:bCs/>
          <w:sz w:val="24"/>
          <w:szCs w:val="24"/>
          <w:lang w:val="en-US"/>
        </w:rPr>
        <w:t xml:space="preserve"> which</w:t>
      </w:r>
      <w:proofErr w:type="gramEnd"/>
      <w:r w:rsidR="00D069C4">
        <w:rPr>
          <w:bCs/>
          <w:sz w:val="24"/>
          <w:szCs w:val="24"/>
          <w:lang w:val="en-US"/>
        </w:rPr>
        <w:t xml:space="preserve"> is closing on 23 September</w:t>
      </w:r>
      <w:r>
        <w:rPr>
          <w:bCs/>
          <w:sz w:val="24"/>
          <w:szCs w:val="24"/>
          <w:lang w:val="en-US"/>
        </w:rPr>
        <w:t xml:space="preserve">. The consultation aims at gathering stakeholders’ views on key objectives and possible areas of intervention at EU-level to enable a shift towards sustainable transport (including greenhouse gas and other pollutant emissions reduction) as well as to </w:t>
      </w:r>
      <w:proofErr w:type="spellStart"/>
      <w:r>
        <w:rPr>
          <w:bCs/>
          <w:sz w:val="24"/>
          <w:szCs w:val="24"/>
          <w:lang w:val="en-US"/>
        </w:rPr>
        <w:t>modernise</w:t>
      </w:r>
      <w:proofErr w:type="spellEnd"/>
      <w:r>
        <w:rPr>
          <w:bCs/>
          <w:sz w:val="24"/>
          <w:szCs w:val="24"/>
          <w:lang w:val="en-US"/>
        </w:rPr>
        <w:t xml:space="preserve"> the sector and make it smarter and more inclusive. The questionnaire also enquires how to address these challenges together with the ones related to safety, security, social aspects (including accessibility, availability and affordability), connectivity and Single Market issues, as well as the external dimension of EU policies.</w:t>
      </w:r>
    </w:p>
    <w:p w:rsidR="00F56639" w:rsidRPr="00F56639" w:rsidRDefault="00F56639" w:rsidP="00F56639">
      <w:pPr>
        <w:tabs>
          <w:tab w:val="left" w:pos="1373"/>
        </w:tabs>
        <w:spacing w:before="60" w:after="60" w:line="240" w:lineRule="auto"/>
        <w:rPr>
          <w:rFonts w:ascii="Calibri" w:eastAsia="Calibri" w:hAnsi="Calibri" w:cs="Times New Roman"/>
          <w:sz w:val="24"/>
          <w:szCs w:val="24"/>
          <w:u w:val="single"/>
          <w:lang w:val="en-US"/>
        </w:rPr>
      </w:pPr>
      <w:r w:rsidRPr="00F56639">
        <w:rPr>
          <w:rFonts w:ascii="Calibri" w:eastAsia="Calibri" w:hAnsi="Calibri" w:cs="Times New Roman"/>
          <w:sz w:val="24"/>
          <w:szCs w:val="24"/>
          <w:u w:val="single"/>
          <w:lang w:val="en-US"/>
        </w:rPr>
        <w:t>Updated version of the Detailed Implementation Plan (</w:t>
      </w:r>
      <w:proofErr w:type="spellStart"/>
      <w:r w:rsidRPr="00F56639">
        <w:rPr>
          <w:rFonts w:ascii="Calibri" w:eastAsia="Calibri" w:hAnsi="Calibri" w:cs="Times New Roman"/>
          <w:sz w:val="24"/>
          <w:szCs w:val="24"/>
          <w:u w:val="single"/>
          <w:lang w:val="en-US"/>
        </w:rPr>
        <w:t>DiP</w:t>
      </w:r>
      <w:proofErr w:type="spellEnd"/>
      <w:r w:rsidRPr="00F56639">
        <w:rPr>
          <w:rFonts w:ascii="Calibri" w:eastAsia="Calibri" w:hAnsi="Calibri" w:cs="Times New Roman"/>
          <w:sz w:val="24"/>
          <w:szCs w:val="24"/>
          <w:u w:val="single"/>
          <w:lang w:val="en-US"/>
        </w:rPr>
        <w:t>) for Motorways of the Sea (</w:t>
      </w:r>
      <w:proofErr w:type="spellStart"/>
      <w:r w:rsidRPr="00F56639">
        <w:rPr>
          <w:rFonts w:ascii="Calibri" w:eastAsia="Calibri" w:hAnsi="Calibri" w:cs="Times New Roman"/>
          <w:sz w:val="24"/>
          <w:szCs w:val="24"/>
          <w:u w:val="single"/>
          <w:lang w:val="en-US"/>
        </w:rPr>
        <w:t>MoS</w:t>
      </w:r>
      <w:proofErr w:type="spellEnd"/>
      <w:r w:rsidRPr="00F56639">
        <w:rPr>
          <w:rFonts w:ascii="Calibri" w:eastAsia="Calibri" w:hAnsi="Calibri" w:cs="Times New Roman"/>
          <w:sz w:val="24"/>
          <w:szCs w:val="24"/>
          <w:u w:val="single"/>
          <w:lang w:val="en-US"/>
        </w:rPr>
        <w:t>)</w:t>
      </w:r>
    </w:p>
    <w:p w:rsidR="00F56639" w:rsidRDefault="00F56639" w:rsidP="00F56639">
      <w:pPr>
        <w:tabs>
          <w:tab w:val="left" w:pos="1373"/>
        </w:tabs>
        <w:spacing w:before="60" w:after="60" w:line="240" w:lineRule="auto"/>
        <w:rPr>
          <w:rFonts w:ascii="Calibri" w:eastAsia="Calibri" w:hAnsi="Calibri" w:cs="Times New Roman"/>
          <w:sz w:val="24"/>
          <w:szCs w:val="24"/>
          <w:u w:val="single"/>
          <w:lang w:val="en-US"/>
        </w:rPr>
      </w:pPr>
    </w:p>
    <w:p w:rsidR="00F56639" w:rsidRPr="00F56639" w:rsidRDefault="00F56639" w:rsidP="00F56639">
      <w:pPr>
        <w:tabs>
          <w:tab w:val="left" w:pos="1373"/>
        </w:tabs>
        <w:spacing w:before="60" w:after="60" w:line="240" w:lineRule="auto"/>
        <w:rPr>
          <w:rFonts w:ascii="Calibri" w:eastAsia="Calibri" w:hAnsi="Calibri" w:cs="Times New Roman"/>
          <w:sz w:val="24"/>
          <w:szCs w:val="24"/>
          <w:lang w:val="en-US"/>
        </w:rPr>
      </w:pPr>
      <w:r w:rsidRPr="00F56639">
        <w:rPr>
          <w:rFonts w:ascii="Calibri" w:eastAsia="Calibri" w:hAnsi="Calibri" w:cs="Times New Roman"/>
          <w:sz w:val="24"/>
          <w:szCs w:val="24"/>
          <w:lang w:val="en-US"/>
        </w:rPr>
        <w:t xml:space="preserve">The European Coordinator has drafted an updated version of the </w:t>
      </w:r>
      <w:proofErr w:type="spellStart"/>
      <w:r w:rsidRPr="00F56639">
        <w:rPr>
          <w:rFonts w:ascii="Calibri" w:eastAsia="Calibri" w:hAnsi="Calibri" w:cs="Times New Roman"/>
          <w:sz w:val="24"/>
          <w:szCs w:val="24"/>
          <w:lang w:val="en-US"/>
        </w:rPr>
        <w:t>DiP</w:t>
      </w:r>
      <w:proofErr w:type="spellEnd"/>
      <w:r w:rsidRPr="00F56639">
        <w:rPr>
          <w:rFonts w:ascii="Calibri" w:eastAsia="Calibri" w:hAnsi="Calibri" w:cs="Times New Roman"/>
          <w:sz w:val="24"/>
          <w:szCs w:val="24"/>
          <w:lang w:val="en-US"/>
        </w:rPr>
        <w:t xml:space="preserve"> for </w:t>
      </w:r>
      <w:proofErr w:type="spellStart"/>
      <w:proofErr w:type="gramStart"/>
      <w:r w:rsidRPr="00F56639">
        <w:rPr>
          <w:rFonts w:ascii="Calibri" w:eastAsia="Calibri" w:hAnsi="Calibri" w:cs="Times New Roman"/>
          <w:sz w:val="24"/>
          <w:szCs w:val="24"/>
          <w:lang w:val="en-US"/>
        </w:rPr>
        <w:t>MoS</w:t>
      </w:r>
      <w:proofErr w:type="spellEnd"/>
      <w:r w:rsidRPr="00F56639">
        <w:rPr>
          <w:rFonts w:ascii="Calibri" w:eastAsia="Calibri" w:hAnsi="Calibri" w:cs="Times New Roman"/>
          <w:sz w:val="24"/>
          <w:szCs w:val="24"/>
          <w:lang w:val="en-US"/>
        </w:rPr>
        <w:t xml:space="preserve"> which</w:t>
      </w:r>
      <w:proofErr w:type="gramEnd"/>
      <w:r w:rsidRPr="00F56639">
        <w:rPr>
          <w:rFonts w:ascii="Calibri" w:eastAsia="Calibri" w:hAnsi="Calibri" w:cs="Times New Roman"/>
          <w:sz w:val="24"/>
          <w:szCs w:val="24"/>
          <w:lang w:val="en-US"/>
        </w:rPr>
        <w:t xml:space="preserve"> is highlighting the following new features: </w:t>
      </w:r>
    </w:p>
    <w:p w:rsidR="00F56639" w:rsidRPr="00F56639" w:rsidRDefault="00F56639" w:rsidP="00F56639">
      <w:pPr>
        <w:numPr>
          <w:ilvl w:val="0"/>
          <w:numId w:val="1"/>
        </w:numPr>
        <w:tabs>
          <w:tab w:val="left" w:pos="1373"/>
        </w:tabs>
        <w:spacing w:before="60" w:after="60" w:line="240" w:lineRule="auto"/>
        <w:contextualSpacing/>
        <w:rPr>
          <w:rFonts w:ascii="Calibri" w:eastAsia="Calibri" w:hAnsi="Calibri" w:cs="Times New Roman"/>
          <w:sz w:val="24"/>
          <w:szCs w:val="24"/>
          <w:lang w:val="en-US"/>
        </w:rPr>
      </w:pPr>
      <w:r w:rsidRPr="00F56639">
        <w:rPr>
          <w:rFonts w:ascii="Calibri" w:eastAsia="Calibri" w:hAnsi="Calibri" w:cs="Times New Roman"/>
          <w:sz w:val="24"/>
          <w:szCs w:val="24"/>
          <w:lang w:val="en-US"/>
        </w:rPr>
        <w:t xml:space="preserve">Focus on </w:t>
      </w:r>
      <w:proofErr w:type="spellStart"/>
      <w:r w:rsidRPr="00F56639">
        <w:rPr>
          <w:rFonts w:ascii="Calibri" w:eastAsia="Calibri" w:hAnsi="Calibri" w:cs="Times New Roman"/>
          <w:sz w:val="24"/>
          <w:szCs w:val="24"/>
          <w:lang w:val="en-US"/>
        </w:rPr>
        <w:t>decarbonisation</w:t>
      </w:r>
      <w:proofErr w:type="spellEnd"/>
      <w:r w:rsidRPr="00F56639">
        <w:rPr>
          <w:rFonts w:ascii="Calibri" w:eastAsia="Calibri" w:hAnsi="Calibri" w:cs="Times New Roman"/>
          <w:sz w:val="24"/>
          <w:szCs w:val="24"/>
          <w:lang w:val="en-US"/>
        </w:rPr>
        <w:t xml:space="preserve"> of the maritime sector </w:t>
      </w:r>
    </w:p>
    <w:p w:rsidR="00F56639" w:rsidRPr="00F56639" w:rsidRDefault="00F56639" w:rsidP="00F56639">
      <w:pPr>
        <w:numPr>
          <w:ilvl w:val="0"/>
          <w:numId w:val="1"/>
        </w:numPr>
        <w:tabs>
          <w:tab w:val="left" w:pos="1373"/>
        </w:tabs>
        <w:spacing w:before="60" w:after="60" w:line="240" w:lineRule="auto"/>
        <w:contextualSpacing/>
        <w:rPr>
          <w:rFonts w:ascii="Calibri" w:eastAsia="Calibri" w:hAnsi="Calibri" w:cs="Times New Roman"/>
          <w:sz w:val="24"/>
          <w:szCs w:val="24"/>
          <w:lang w:val="en-US"/>
        </w:rPr>
      </w:pPr>
      <w:r w:rsidRPr="00F56639">
        <w:rPr>
          <w:rFonts w:ascii="Calibri" w:eastAsia="Calibri" w:hAnsi="Calibri" w:cs="Times New Roman"/>
          <w:sz w:val="24"/>
          <w:szCs w:val="24"/>
          <w:lang w:val="en-US"/>
        </w:rPr>
        <w:t xml:space="preserve">Further exploration of shore-side power supply </w:t>
      </w:r>
    </w:p>
    <w:p w:rsidR="00F56639" w:rsidRPr="00F56639" w:rsidRDefault="00F56639" w:rsidP="00F56639">
      <w:pPr>
        <w:numPr>
          <w:ilvl w:val="0"/>
          <w:numId w:val="1"/>
        </w:numPr>
        <w:tabs>
          <w:tab w:val="left" w:pos="1373"/>
        </w:tabs>
        <w:spacing w:before="60" w:after="60" w:line="240" w:lineRule="auto"/>
        <w:contextualSpacing/>
        <w:rPr>
          <w:rFonts w:ascii="Calibri" w:eastAsia="Calibri" w:hAnsi="Calibri" w:cs="Times New Roman"/>
          <w:sz w:val="24"/>
          <w:szCs w:val="24"/>
          <w:lang w:val="en-US"/>
        </w:rPr>
      </w:pPr>
      <w:r w:rsidRPr="00F56639">
        <w:rPr>
          <w:rFonts w:ascii="Calibri" w:eastAsia="Calibri" w:hAnsi="Calibri" w:cs="Times New Roman"/>
          <w:sz w:val="24"/>
          <w:szCs w:val="24"/>
          <w:lang w:val="en-US"/>
        </w:rPr>
        <w:t>Emphasis on climate adaptation</w:t>
      </w:r>
    </w:p>
    <w:p w:rsidR="00F56639" w:rsidRPr="00F56639" w:rsidRDefault="00F56639" w:rsidP="00F56639">
      <w:pPr>
        <w:numPr>
          <w:ilvl w:val="0"/>
          <w:numId w:val="1"/>
        </w:numPr>
        <w:tabs>
          <w:tab w:val="left" w:pos="1373"/>
        </w:tabs>
        <w:spacing w:before="60" w:after="60" w:line="240" w:lineRule="auto"/>
        <w:contextualSpacing/>
        <w:rPr>
          <w:rFonts w:ascii="Calibri" w:eastAsia="Calibri" w:hAnsi="Calibri" w:cs="Times New Roman"/>
          <w:sz w:val="24"/>
          <w:szCs w:val="24"/>
          <w:lang w:val="en-US"/>
        </w:rPr>
      </w:pPr>
      <w:r w:rsidRPr="00F56639">
        <w:rPr>
          <w:rFonts w:ascii="Calibri" w:eastAsia="Calibri" w:hAnsi="Calibri" w:cs="Times New Roman"/>
          <w:sz w:val="24"/>
          <w:szCs w:val="24"/>
          <w:lang w:val="en-US"/>
        </w:rPr>
        <w:t xml:space="preserve">Developing hinterland and last mile connections </w:t>
      </w:r>
    </w:p>
    <w:p w:rsidR="00F56639" w:rsidRPr="00F56639" w:rsidRDefault="00F56639" w:rsidP="00F56639">
      <w:pPr>
        <w:numPr>
          <w:ilvl w:val="0"/>
          <w:numId w:val="1"/>
        </w:numPr>
        <w:tabs>
          <w:tab w:val="left" w:pos="1373"/>
        </w:tabs>
        <w:spacing w:before="60" w:after="60" w:line="240" w:lineRule="auto"/>
        <w:contextualSpacing/>
        <w:rPr>
          <w:rFonts w:ascii="Calibri" w:eastAsia="Calibri" w:hAnsi="Calibri" w:cs="Times New Roman"/>
          <w:sz w:val="24"/>
          <w:szCs w:val="24"/>
          <w:lang w:val="en-US"/>
        </w:rPr>
      </w:pPr>
      <w:r w:rsidRPr="00F56639">
        <w:rPr>
          <w:rFonts w:ascii="Calibri" w:eastAsia="Calibri" w:hAnsi="Calibri" w:cs="Times New Roman"/>
          <w:sz w:val="24"/>
          <w:szCs w:val="24"/>
          <w:lang w:val="en-US"/>
        </w:rPr>
        <w:t>Removal of persistent bottlenecks in the loading operations</w:t>
      </w:r>
    </w:p>
    <w:p w:rsidR="00F56639" w:rsidRPr="00F56639" w:rsidRDefault="00F56639" w:rsidP="00F56639">
      <w:pPr>
        <w:numPr>
          <w:ilvl w:val="0"/>
          <w:numId w:val="1"/>
        </w:numPr>
        <w:tabs>
          <w:tab w:val="left" w:pos="1373"/>
        </w:tabs>
        <w:spacing w:before="60" w:after="60" w:line="240" w:lineRule="auto"/>
        <w:contextualSpacing/>
        <w:rPr>
          <w:rFonts w:ascii="Calibri" w:eastAsia="Calibri" w:hAnsi="Calibri" w:cs="Times New Roman"/>
          <w:sz w:val="24"/>
          <w:szCs w:val="24"/>
          <w:lang w:val="en-US"/>
        </w:rPr>
      </w:pPr>
      <w:r w:rsidRPr="00F56639">
        <w:rPr>
          <w:rFonts w:ascii="Calibri" w:eastAsia="Calibri" w:hAnsi="Calibri" w:cs="Times New Roman"/>
          <w:sz w:val="24"/>
          <w:szCs w:val="24"/>
          <w:lang w:val="en-US"/>
        </w:rPr>
        <w:t>Supporting connectivity and territorial cohesion by taking into account the needs and characteristics of peripheral regions, outermost regions and islands</w:t>
      </w:r>
    </w:p>
    <w:p w:rsidR="00F56639" w:rsidRPr="00F56639" w:rsidRDefault="00F56639" w:rsidP="00F56639">
      <w:pPr>
        <w:numPr>
          <w:ilvl w:val="0"/>
          <w:numId w:val="1"/>
        </w:numPr>
        <w:tabs>
          <w:tab w:val="left" w:pos="1373"/>
        </w:tabs>
        <w:spacing w:before="60" w:after="60" w:line="240" w:lineRule="auto"/>
        <w:contextualSpacing/>
        <w:rPr>
          <w:rFonts w:ascii="Calibri" w:eastAsia="Calibri" w:hAnsi="Calibri" w:cs="Times New Roman"/>
          <w:sz w:val="24"/>
          <w:szCs w:val="24"/>
          <w:lang w:val="en-US"/>
        </w:rPr>
      </w:pPr>
      <w:r w:rsidRPr="00F56639">
        <w:rPr>
          <w:rFonts w:ascii="Calibri" w:eastAsia="Calibri" w:hAnsi="Calibri" w:cs="Times New Roman"/>
          <w:sz w:val="24"/>
          <w:szCs w:val="24"/>
          <w:lang w:val="en-US"/>
        </w:rPr>
        <w:t xml:space="preserve">Supporting the development of </w:t>
      </w:r>
      <w:proofErr w:type="spellStart"/>
      <w:r w:rsidRPr="00F56639">
        <w:rPr>
          <w:rFonts w:ascii="Calibri" w:eastAsia="Calibri" w:hAnsi="Calibri" w:cs="Times New Roman"/>
          <w:sz w:val="24"/>
          <w:szCs w:val="24"/>
          <w:lang w:val="en-US"/>
        </w:rPr>
        <w:t>MoS</w:t>
      </w:r>
      <w:proofErr w:type="spellEnd"/>
      <w:r w:rsidRPr="00F56639">
        <w:rPr>
          <w:rFonts w:ascii="Calibri" w:eastAsia="Calibri" w:hAnsi="Calibri" w:cs="Times New Roman"/>
          <w:sz w:val="24"/>
          <w:szCs w:val="24"/>
          <w:lang w:val="en-US"/>
        </w:rPr>
        <w:t xml:space="preserve"> links with third countries / </w:t>
      </w:r>
      <w:proofErr w:type="spellStart"/>
      <w:r w:rsidRPr="00F56639">
        <w:rPr>
          <w:rFonts w:ascii="Calibri" w:eastAsia="Calibri" w:hAnsi="Calibri" w:cs="Times New Roman"/>
          <w:sz w:val="24"/>
          <w:szCs w:val="24"/>
          <w:lang w:val="en-US"/>
        </w:rPr>
        <w:t>neighbouring</w:t>
      </w:r>
      <w:proofErr w:type="spellEnd"/>
      <w:r w:rsidRPr="00F56639">
        <w:rPr>
          <w:rFonts w:ascii="Calibri" w:eastAsia="Calibri" w:hAnsi="Calibri" w:cs="Times New Roman"/>
          <w:sz w:val="24"/>
          <w:szCs w:val="24"/>
          <w:lang w:val="en-US"/>
        </w:rPr>
        <w:t xml:space="preserve"> countries</w:t>
      </w:r>
    </w:p>
    <w:p w:rsidR="00F56639" w:rsidRPr="00F56639" w:rsidRDefault="00F56639" w:rsidP="00F56639">
      <w:pPr>
        <w:numPr>
          <w:ilvl w:val="0"/>
          <w:numId w:val="1"/>
        </w:numPr>
        <w:tabs>
          <w:tab w:val="left" w:pos="1373"/>
        </w:tabs>
        <w:spacing w:before="60" w:after="60" w:line="240" w:lineRule="auto"/>
        <w:contextualSpacing/>
        <w:rPr>
          <w:rFonts w:ascii="Calibri" w:eastAsia="Calibri" w:hAnsi="Calibri" w:cs="Times New Roman"/>
          <w:sz w:val="24"/>
          <w:szCs w:val="24"/>
          <w:lang w:val="en-US"/>
        </w:rPr>
      </w:pPr>
      <w:r w:rsidRPr="00F56639">
        <w:rPr>
          <w:rFonts w:ascii="Calibri" w:eastAsia="Calibri" w:hAnsi="Calibri" w:cs="Times New Roman"/>
          <w:sz w:val="24"/>
          <w:szCs w:val="24"/>
          <w:lang w:val="en-US"/>
        </w:rPr>
        <w:t xml:space="preserve">Pursuing the interoperability </w:t>
      </w:r>
    </w:p>
    <w:p w:rsidR="00F56639" w:rsidRPr="00F56639" w:rsidRDefault="00F56639" w:rsidP="00F56639">
      <w:pPr>
        <w:numPr>
          <w:ilvl w:val="0"/>
          <w:numId w:val="1"/>
        </w:numPr>
        <w:tabs>
          <w:tab w:val="left" w:pos="1373"/>
        </w:tabs>
        <w:spacing w:before="60" w:after="60" w:line="240" w:lineRule="auto"/>
        <w:contextualSpacing/>
        <w:rPr>
          <w:rFonts w:ascii="Calibri" w:eastAsia="Calibri" w:hAnsi="Calibri" w:cs="Times New Roman"/>
          <w:sz w:val="24"/>
          <w:szCs w:val="24"/>
          <w:lang w:val="en-US"/>
        </w:rPr>
      </w:pPr>
      <w:r w:rsidRPr="00F56639">
        <w:rPr>
          <w:rFonts w:ascii="Calibri" w:eastAsia="Calibri" w:hAnsi="Calibri" w:cs="Times New Roman"/>
          <w:sz w:val="24"/>
          <w:szCs w:val="24"/>
          <w:lang w:val="en-US"/>
        </w:rPr>
        <w:t xml:space="preserve">Integration of new technologies and </w:t>
      </w:r>
      <w:proofErr w:type="spellStart"/>
      <w:r w:rsidRPr="00F56639">
        <w:rPr>
          <w:rFonts w:ascii="Calibri" w:eastAsia="Calibri" w:hAnsi="Calibri" w:cs="Times New Roman"/>
          <w:sz w:val="24"/>
          <w:szCs w:val="24"/>
          <w:lang w:val="en-US"/>
        </w:rPr>
        <w:t>digitised</w:t>
      </w:r>
      <w:proofErr w:type="spellEnd"/>
      <w:r w:rsidRPr="00F56639">
        <w:rPr>
          <w:rFonts w:ascii="Calibri" w:eastAsia="Calibri" w:hAnsi="Calibri" w:cs="Times New Roman"/>
          <w:sz w:val="24"/>
          <w:szCs w:val="24"/>
          <w:lang w:val="en-US"/>
        </w:rPr>
        <w:t xml:space="preserve"> processes.</w:t>
      </w:r>
    </w:p>
    <w:p w:rsidR="00F56639" w:rsidRPr="00F56639" w:rsidRDefault="00F56639">
      <w:pPr>
        <w:rPr>
          <w:sz w:val="24"/>
          <w:szCs w:val="24"/>
          <w:lang w:val="en-US"/>
        </w:rPr>
      </w:pPr>
    </w:p>
    <w:p w:rsidR="00F56639" w:rsidRDefault="00F56639" w:rsidP="00F56639">
      <w:pPr>
        <w:tabs>
          <w:tab w:val="left" w:pos="1373"/>
        </w:tabs>
        <w:spacing w:before="60" w:after="60"/>
        <w:rPr>
          <w:sz w:val="24"/>
          <w:szCs w:val="24"/>
          <w:u w:val="single"/>
          <w:lang w:val="en-US"/>
        </w:rPr>
      </w:pPr>
      <w:proofErr w:type="spellStart"/>
      <w:r>
        <w:rPr>
          <w:sz w:val="24"/>
          <w:szCs w:val="24"/>
          <w:u w:val="single"/>
          <w:lang w:val="en-US"/>
        </w:rPr>
        <w:t>FuelEUMaritime</w:t>
      </w:r>
      <w:proofErr w:type="spellEnd"/>
      <w:r>
        <w:rPr>
          <w:sz w:val="24"/>
          <w:szCs w:val="24"/>
          <w:u w:val="single"/>
          <w:lang w:val="en-US"/>
        </w:rPr>
        <w:t xml:space="preserve"> initiative</w:t>
      </w:r>
    </w:p>
    <w:p w:rsidR="00F56639" w:rsidRDefault="00F56639" w:rsidP="00F56639">
      <w:pPr>
        <w:tabs>
          <w:tab w:val="left" w:pos="1373"/>
        </w:tabs>
        <w:spacing w:before="60" w:after="60"/>
        <w:rPr>
          <w:sz w:val="24"/>
          <w:szCs w:val="24"/>
          <w:lang w:val="en-US"/>
        </w:rPr>
      </w:pPr>
      <w:r>
        <w:rPr>
          <w:sz w:val="24"/>
          <w:szCs w:val="24"/>
          <w:lang w:val="en-US"/>
        </w:rPr>
        <w:t xml:space="preserve">The </w:t>
      </w:r>
      <w:proofErr w:type="spellStart"/>
      <w:r>
        <w:rPr>
          <w:sz w:val="24"/>
          <w:szCs w:val="24"/>
          <w:lang w:val="en-US"/>
        </w:rPr>
        <w:t>FuelEuMaritime</w:t>
      </w:r>
      <w:proofErr w:type="spellEnd"/>
      <w:r>
        <w:rPr>
          <w:sz w:val="24"/>
          <w:szCs w:val="24"/>
          <w:lang w:val="en-US"/>
        </w:rPr>
        <w:t xml:space="preserve"> has been announced as a legislative initiative in the context of the 2020 Commission Work </w:t>
      </w:r>
      <w:proofErr w:type="spellStart"/>
      <w:r>
        <w:rPr>
          <w:sz w:val="24"/>
          <w:szCs w:val="24"/>
          <w:lang w:val="en-US"/>
        </w:rPr>
        <w:t>Programme</w:t>
      </w:r>
      <w:proofErr w:type="spellEnd"/>
      <w:r>
        <w:rPr>
          <w:sz w:val="24"/>
          <w:szCs w:val="24"/>
          <w:lang w:val="en-US"/>
        </w:rPr>
        <w:t xml:space="preserve"> as part of the Green Deal. The initiative is also an element of the upcoming “Strategy for a Sustainable and Smart Mobility”. </w:t>
      </w:r>
    </w:p>
    <w:p w:rsidR="00F56639" w:rsidRDefault="00F56639" w:rsidP="00F56639">
      <w:pPr>
        <w:tabs>
          <w:tab w:val="left" w:pos="1373"/>
        </w:tabs>
        <w:spacing w:before="60" w:after="60"/>
        <w:rPr>
          <w:sz w:val="24"/>
          <w:szCs w:val="24"/>
          <w:lang w:val="en-US"/>
        </w:rPr>
      </w:pPr>
      <w:r>
        <w:rPr>
          <w:sz w:val="24"/>
          <w:szCs w:val="24"/>
          <w:lang w:val="en-US"/>
        </w:rPr>
        <w:t>The initiative aims at ramping-up the production, deployment and uptake of sustainable alternative marine fuels, and regulate access of the most polluting ships to EU ports and obliging docked ships to drastically reduce their emissions.</w:t>
      </w:r>
    </w:p>
    <w:p w:rsidR="001000C6" w:rsidRDefault="00F56639" w:rsidP="00F56639">
      <w:pPr>
        <w:rPr>
          <w:sz w:val="24"/>
          <w:szCs w:val="24"/>
          <w:u w:val="single"/>
          <w:lang w:val="en-GB"/>
        </w:rPr>
      </w:pPr>
      <w:r>
        <w:rPr>
          <w:sz w:val="24"/>
          <w:szCs w:val="24"/>
          <w:u w:val="single"/>
          <w:lang w:val="en-US"/>
        </w:rPr>
        <w:lastRenderedPageBreak/>
        <w:t xml:space="preserve">Draft report </w:t>
      </w:r>
      <w:r w:rsidRPr="00F56639">
        <w:rPr>
          <w:sz w:val="24"/>
          <w:szCs w:val="24"/>
          <w:u w:val="single"/>
          <w:lang w:val="en-GB"/>
        </w:rPr>
        <w:t>on the revision of the Trans-European Trans</w:t>
      </w:r>
      <w:r>
        <w:rPr>
          <w:sz w:val="24"/>
          <w:szCs w:val="24"/>
          <w:u w:val="single"/>
          <w:lang w:val="en-GB"/>
        </w:rPr>
        <w:t xml:space="preserve">port Network (TEN-T) guidelines </w:t>
      </w:r>
      <w:r w:rsidRPr="00F56639">
        <w:rPr>
          <w:sz w:val="24"/>
          <w:szCs w:val="24"/>
          <w:u w:val="single"/>
          <w:lang w:val="en-GB"/>
        </w:rPr>
        <w:t>(2019/2192(INI))</w:t>
      </w:r>
      <w:r>
        <w:rPr>
          <w:sz w:val="24"/>
          <w:szCs w:val="24"/>
          <w:u w:val="single"/>
          <w:lang w:val="en-GB"/>
        </w:rPr>
        <w:t xml:space="preserve"> </w:t>
      </w:r>
      <w:r w:rsidR="007B2B21">
        <w:rPr>
          <w:sz w:val="24"/>
          <w:szCs w:val="24"/>
          <w:u w:val="single"/>
          <w:lang w:val="en-GB"/>
        </w:rPr>
        <w:t>from</w:t>
      </w:r>
      <w:r>
        <w:rPr>
          <w:sz w:val="24"/>
          <w:szCs w:val="24"/>
          <w:u w:val="single"/>
          <w:lang w:val="en-GB"/>
        </w:rPr>
        <w:t xml:space="preserve"> the EP </w:t>
      </w:r>
      <w:r w:rsidRPr="00F56639">
        <w:rPr>
          <w:sz w:val="24"/>
          <w:szCs w:val="24"/>
          <w:u w:val="single"/>
          <w:lang w:val="en-GB"/>
        </w:rPr>
        <w:t>Committee on Transport and Tourism</w:t>
      </w:r>
      <w:r>
        <w:rPr>
          <w:sz w:val="24"/>
          <w:szCs w:val="24"/>
          <w:u w:val="single"/>
          <w:lang w:val="en-GB"/>
        </w:rPr>
        <w:t xml:space="preserve">.  </w:t>
      </w:r>
      <w:r w:rsidRPr="00F56639">
        <w:rPr>
          <w:sz w:val="24"/>
          <w:szCs w:val="24"/>
          <w:u w:val="single"/>
          <w:lang w:val="en-GB"/>
        </w:rPr>
        <w:t xml:space="preserve">Rapporteur: Jens </w:t>
      </w:r>
      <w:proofErr w:type="spellStart"/>
      <w:r w:rsidRPr="00F56639">
        <w:rPr>
          <w:sz w:val="24"/>
          <w:szCs w:val="24"/>
          <w:u w:val="single"/>
          <w:lang w:val="en-GB"/>
        </w:rPr>
        <w:t>Gieseke</w:t>
      </w:r>
      <w:proofErr w:type="spellEnd"/>
    </w:p>
    <w:p w:rsidR="007B2B21" w:rsidRPr="007B2B21" w:rsidRDefault="007B2B21" w:rsidP="007B2B21">
      <w:pPr>
        <w:tabs>
          <w:tab w:val="left" w:pos="1800"/>
        </w:tabs>
        <w:rPr>
          <w:sz w:val="24"/>
          <w:szCs w:val="24"/>
          <w:lang w:val="en-GB"/>
        </w:rPr>
      </w:pPr>
      <w:r>
        <w:rPr>
          <w:sz w:val="24"/>
          <w:szCs w:val="24"/>
          <w:lang w:val="en-GB"/>
        </w:rPr>
        <w:t xml:space="preserve">The </w:t>
      </w:r>
      <w:r w:rsidRPr="007B2B21">
        <w:rPr>
          <w:sz w:val="24"/>
          <w:szCs w:val="24"/>
          <w:lang w:val="en-GB"/>
        </w:rPr>
        <w:t>legislative proposal for a revision of the TEN-T Regulation</w:t>
      </w:r>
      <w:r>
        <w:rPr>
          <w:sz w:val="24"/>
          <w:szCs w:val="24"/>
          <w:lang w:val="en-GB"/>
        </w:rPr>
        <w:t xml:space="preserve"> </w:t>
      </w:r>
      <w:proofErr w:type="gramStart"/>
      <w:r>
        <w:rPr>
          <w:sz w:val="24"/>
          <w:szCs w:val="24"/>
          <w:lang w:val="en-GB"/>
        </w:rPr>
        <w:t>is expected</w:t>
      </w:r>
      <w:proofErr w:type="gramEnd"/>
      <w:r w:rsidRPr="007B2B21">
        <w:rPr>
          <w:sz w:val="24"/>
          <w:szCs w:val="24"/>
          <w:lang w:val="en-GB"/>
        </w:rPr>
        <w:t xml:space="preserve"> by June 2021.</w:t>
      </w:r>
    </w:p>
    <w:p w:rsidR="006C2589" w:rsidRDefault="007B2B21" w:rsidP="00F56639">
      <w:pPr>
        <w:rPr>
          <w:sz w:val="24"/>
          <w:szCs w:val="24"/>
          <w:lang w:val="en-GB"/>
        </w:rPr>
      </w:pPr>
      <w:r>
        <w:rPr>
          <w:sz w:val="24"/>
          <w:szCs w:val="24"/>
          <w:lang w:val="en-GB"/>
        </w:rPr>
        <w:t xml:space="preserve">MEP Jens </w:t>
      </w:r>
      <w:proofErr w:type="spellStart"/>
      <w:r>
        <w:rPr>
          <w:sz w:val="24"/>
          <w:szCs w:val="24"/>
          <w:lang w:val="en-GB"/>
        </w:rPr>
        <w:t>Gieseke</w:t>
      </w:r>
      <w:proofErr w:type="spellEnd"/>
      <w:r>
        <w:rPr>
          <w:sz w:val="24"/>
          <w:szCs w:val="24"/>
          <w:lang w:val="en-GB"/>
        </w:rPr>
        <w:t xml:space="preserve"> </w:t>
      </w:r>
      <w:r w:rsidR="006C2589">
        <w:rPr>
          <w:sz w:val="24"/>
          <w:szCs w:val="24"/>
          <w:lang w:val="en-GB"/>
        </w:rPr>
        <w:t xml:space="preserve">from the TRAN Committee </w:t>
      </w:r>
      <w:r w:rsidR="002861E6">
        <w:rPr>
          <w:sz w:val="24"/>
          <w:szCs w:val="24"/>
          <w:lang w:val="en-GB"/>
        </w:rPr>
        <w:t xml:space="preserve">has issued a </w:t>
      </w:r>
      <w:proofErr w:type="gramStart"/>
      <w:r w:rsidR="002861E6">
        <w:rPr>
          <w:sz w:val="24"/>
          <w:szCs w:val="24"/>
          <w:lang w:val="en-GB"/>
        </w:rPr>
        <w:t xml:space="preserve">so </w:t>
      </w:r>
      <w:r>
        <w:rPr>
          <w:sz w:val="24"/>
          <w:szCs w:val="24"/>
          <w:lang w:val="en-GB"/>
        </w:rPr>
        <w:t>called</w:t>
      </w:r>
      <w:proofErr w:type="gramEnd"/>
      <w:r>
        <w:rPr>
          <w:sz w:val="24"/>
          <w:szCs w:val="24"/>
          <w:lang w:val="en-GB"/>
        </w:rPr>
        <w:t xml:space="preserve"> Own Initiative</w:t>
      </w:r>
      <w:r w:rsidR="006C2589">
        <w:rPr>
          <w:sz w:val="24"/>
          <w:szCs w:val="24"/>
          <w:lang w:val="en-GB"/>
        </w:rPr>
        <w:t xml:space="preserve"> Report on the TEN-T revision which was published in the beginning of August.</w:t>
      </w:r>
    </w:p>
    <w:p w:rsidR="006C2589" w:rsidRDefault="002861E6" w:rsidP="00F56639">
      <w:pPr>
        <w:rPr>
          <w:sz w:val="24"/>
          <w:szCs w:val="24"/>
          <w:lang w:val="en-GB"/>
        </w:rPr>
      </w:pPr>
      <w:r>
        <w:rPr>
          <w:sz w:val="24"/>
          <w:szCs w:val="24"/>
          <w:lang w:val="en-GB"/>
        </w:rPr>
        <w:t xml:space="preserve">Main messages of the report: </w:t>
      </w:r>
    </w:p>
    <w:p w:rsidR="002861E6" w:rsidRPr="002861E6" w:rsidRDefault="002861E6" w:rsidP="002861E6">
      <w:pPr>
        <w:pStyle w:val="Listeavsnitt"/>
        <w:numPr>
          <w:ilvl w:val="0"/>
          <w:numId w:val="4"/>
        </w:numPr>
        <w:rPr>
          <w:sz w:val="24"/>
          <w:szCs w:val="24"/>
          <w:lang w:val="en-GB"/>
        </w:rPr>
      </w:pPr>
      <w:r w:rsidRPr="002861E6">
        <w:rPr>
          <w:sz w:val="24"/>
          <w:szCs w:val="24"/>
          <w:lang w:val="en-GB"/>
        </w:rPr>
        <w:t xml:space="preserve">The </w:t>
      </w:r>
      <w:proofErr w:type="gramStart"/>
      <w:r w:rsidRPr="002861E6">
        <w:rPr>
          <w:sz w:val="24"/>
          <w:szCs w:val="24"/>
          <w:lang w:val="en-GB"/>
        </w:rPr>
        <w:t>added value</w:t>
      </w:r>
      <w:proofErr w:type="gramEnd"/>
      <w:r w:rsidRPr="002861E6">
        <w:rPr>
          <w:sz w:val="24"/>
          <w:szCs w:val="24"/>
          <w:lang w:val="en-GB"/>
        </w:rPr>
        <w:t xml:space="preserve"> of the multimodal core network corridors and the importance of their timely completion. Is deeply concerned about delays to cross-border projects.</w:t>
      </w:r>
    </w:p>
    <w:p w:rsid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t xml:space="preserve">Streamlining administrative and judicial processes and increasing the digitalisation are important steps that need to </w:t>
      </w:r>
      <w:proofErr w:type="gramStart"/>
      <w:r w:rsidRPr="002861E6">
        <w:rPr>
          <w:sz w:val="24"/>
          <w:szCs w:val="24"/>
          <w:lang w:val="en-GB"/>
        </w:rPr>
        <w:t>be undertaken</w:t>
      </w:r>
      <w:proofErr w:type="gramEnd"/>
      <w:r w:rsidRPr="002861E6">
        <w:rPr>
          <w:sz w:val="24"/>
          <w:szCs w:val="24"/>
          <w:lang w:val="en-GB"/>
        </w:rPr>
        <w:t xml:space="preserve"> by Member States in order to speed up the completion process of transport infrastructure.</w:t>
      </w:r>
    </w:p>
    <w:p w:rsidR="002861E6" w:rsidRP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t>Focus on the interconnection between the core and comprehensive networks in rural, peripheral a</w:t>
      </w:r>
      <w:r>
        <w:rPr>
          <w:sz w:val="24"/>
          <w:szCs w:val="24"/>
          <w:lang w:val="en-GB"/>
        </w:rPr>
        <w:t>nd outermost regions and island.</w:t>
      </w:r>
    </w:p>
    <w:p w:rsidR="002861E6" w:rsidRP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t xml:space="preserve">No major changes to the maps </w:t>
      </w:r>
      <w:proofErr w:type="gramStart"/>
      <w:r w:rsidRPr="002861E6">
        <w:rPr>
          <w:sz w:val="24"/>
          <w:szCs w:val="24"/>
          <w:lang w:val="en-GB"/>
        </w:rPr>
        <w:t>should be made</w:t>
      </w:r>
      <w:proofErr w:type="gramEnd"/>
      <w:r w:rsidRPr="002861E6">
        <w:rPr>
          <w:sz w:val="24"/>
          <w:szCs w:val="24"/>
          <w:lang w:val="en-GB"/>
        </w:rPr>
        <w:t xml:space="preserve">. That the existing legislation does not need to be revolutionised. Especially, the design of core network should only undergo small changes </w:t>
      </w:r>
      <w:proofErr w:type="gramStart"/>
      <w:r w:rsidRPr="002861E6">
        <w:rPr>
          <w:sz w:val="24"/>
          <w:szCs w:val="24"/>
          <w:lang w:val="en-GB"/>
        </w:rPr>
        <w:t>in order to not endanger</w:t>
      </w:r>
      <w:proofErr w:type="gramEnd"/>
      <w:r w:rsidRPr="002861E6">
        <w:rPr>
          <w:sz w:val="24"/>
          <w:szCs w:val="24"/>
          <w:lang w:val="en-GB"/>
        </w:rPr>
        <w:t xml:space="preserve"> the timely completion of it by 2030.</w:t>
      </w:r>
    </w:p>
    <w:p w:rsidR="002861E6" w:rsidRP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t xml:space="preserve">The adjustments listed in Part III of the Annex of the revision of the CEF 1 </w:t>
      </w:r>
      <w:proofErr w:type="gramStart"/>
      <w:r w:rsidRPr="002861E6">
        <w:rPr>
          <w:sz w:val="24"/>
          <w:szCs w:val="24"/>
          <w:lang w:val="en-GB"/>
        </w:rPr>
        <w:t>should be replicated</w:t>
      </w:r>
      <w:proofErr w:type="gramEnd"/>
      <w:r w:rsidRPr="002861E6">
        <w:rPr>
          <w:sz w:val="24"/>
          <w:szCs w:val="24"/>
          <w:lang w:val="en-GB"/>
        </w:rPr>
        <w:t xml:space="preserve"> in the new TEN-T maps. </w:t>
      </w:r>
    </w:p>
    <w:p w:rsidR="002861E6" w:rsidRP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t>Prioritise under the TEN-T the full deployment of alternative fuels for all modes of transport. A key change to the new TEN-T needs to be the integration of alternative fuel infrastructure.</w:t>
      </w:r>
    </w:p>
    <w:p w:rsidR="002861E6" w:rsidRP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t>Innovation and digitalisation play a key role in making transport safer and decarbonising it; Support for digitalisation and innovation of all modes of transport needs to be at the heart of the upcoming TEN-T. The revision of the TEN-T should also take into account smart and autonomous mobility.</w:t>
      </w:r>
    </w:p>
    <w:p w:rsidR="002861E6" w:rsidRP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t xml:space="preserve">it is essential that all relevant EU funds (CEF, </w:t>
      </w:r>
      <w:proofErr w:type="spellStart"/>
      <w:r w:rsidRPr="002861E6">
        <w:rPr>
          <w:sz w:val="24"/>
          <w:szCs w:val="24"/>
          <w:lang w:val="en-GB"/>
        </w:rPr>
        <w:t>InvestEU</w:t>
      </w:r>
      <w:proofErr w:type="spellEnd"/>
      <w:r w:rsidRPr="002861E6">
        <w:rPr>
          <w:sz w:val="24"/>
          <w:szCs w:val="24"/>
          <w:lang w:val="en-GB"/>
        </w:rPr>
        <w:t>, the European structural and investment funds, Horizon Europe etc.) and European Investment Bank lending are tailored to the specific needs of the transport sector and that the Member States commit themselves to proper funding; also facilitate for</w:t>
      </w:r>
      <w:r>
        <w:rPr>
          <w:sz w:val="24"/>
          <w:szCs w:val="24"/>
          <w:lang w:val="en-GB"/>
        </w:rPr>
        <w:t xml:space="preserve"> and exploit synergies between </w:t>
      </w:r>
      <w:r w:rsidRPr="002861E6">
        <w:rPr>
          <w:sz w:val="24"/>
          <w:szCs w:val="24"/>
          <w:lang w:val="en-GB"/>
        </w:rPr>
        <w:t>different funds.</w:t>
      </w:r>
    </w:p>
    <w:p w:rsidR="002861E6" w:rsidRP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lastRenderedPageBreak/>
        <w:t>Strengthen its oversight of the implementation of the TEN-T by reinforcing relevant instruments and the role of the European coordinators in the governance of the corridors.</w:t>
      </w:r>
    </w:p>
    <w:p w:rsidR="002861E6" w:rsidRP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t>Highlights the strategic value for the EU of maintaining close trans</w:t>
      </w:r>
      <w:r>
        <w:rPr>
          <w:sz w:val="24"/>
          <w:szCs w:val="24"/>
          <w:lang w:val="en-GB"/>
        </w:rPr>
        <w:t xml:space="preserve">port links with third countries. </w:t>
      </w:r>
      <w:r w:rsidRPr="002861E6">
        <w:rPr>
          <w:sz w:val="24"/>
          <w:szCs w:val="24"/>
          <w:lang w:val="en-GB"/>
        </w:rPr>
        <w:t>Pay special attention to monitor the impact of the withdrawal of the UK on border regions - in particular, the ef</w:t>
      </w:r>
      <w:r>
        <w:rPr>
          <w:sz w:val="24"/>
          <w:szCs w:val="24"/>
          <w:lang w:val="en-GB"/>
        </w:rPr>
        <w:t xml:space="preserve">fects of the withdrawal on the </w:t>
      </w:r>
      <w:r w:rsidRPr="002861E6">
        <w:rPr>
          <w:sz w:val="24"/>
          <w:szCs w:val="24"/>
          <w:lang w:val="en-GB"/>
        </w:rPr>
        <w:t xml:space="preserve">North </w:t>
      </w:r>
      <w:r>
        <w:rPr>
          <w:sz w:val="24"/>
          <w:szCs w:val="24"/>
          <w:lang w:val="en-GB"/>
        </w:rPr>
        <w:t xml:space="preserve">Sea and Atlantic Regions needs </w:t>
      </w:r>
      <w:r w:rsidRPr="002861E6">
        <w:rPr>
          <w:sz w:val="24"/>
          <w:szCs w:val="24"/>
          <w:lang w:val="en-GB"/>
        </w:rPr>
        <w:t xml:space="preserve">to </w:t>
      </w:r>
      <w:proofErr w:type="gramStart"/>
      <w:r w:rsidRPr="002861E6">
        <w:rPr>
          <w:sz w:val="24"/>
          <w:szCs w:val="24"/>
          <w:lang w:val="en-GB"/>
        </w:rPr>
        <w:t>be taken</w:t>
      </w:r>
      <w:proofErr w:type="gramEnd"/>
      <w:r w:rsidRPr="002861E6">
        <w:rPr>
          <w:sz w:val="24"/>
          <w:szCs w:val="24"/>
          <w:lang w:val="en-GB"/>
        </w:rPr>
        <w:t xml:space="preserve"> into account.</w:t>
      </w:r>
    </w:p>
    <w:p w:rsidR="002861E6" w:rsidRP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t>Both the Commission and Member States need to work closely with regions and cities to enhance the last-mile infrastructure, thereby multiplying the user range of the network.</w:t>
      </w:r>
    </w:p>
    <w:p w:rsidR="002861E6" w:rsidRPr="002861E6" w:rsidRDefault="002861E6" w:rsidP="002861E6">
      <w:pPr>
        <w:pStyle w:val="Listeavsnitt"/>
        <w:rPr>
          <w:sz w:val="24"/>
          <w:szCs w:val="24"/>
          <w:lang w:val="en-GB"/>
        </w:rPr>
      </w:pPr>
    </w:p>
    <w:p w:rsidR="002861E6" w:rsidRDefault="002861E6" w:rsidP="002861E6">
      <w:pPr>
        <w:pStyle w:val="Listeavsnitt"/>
        <w:numPr>
          <w:ilvl w:val="0"/>
          <w:numId w:val="4"/>
        </w:numPr>
        <w:rPr>
          <w:sz w:val="24"/>
          <w:szCs w:val="24"/>
          <w:lang w:val="en-GB"/>
        </w:rPr>
      </w:pPr>
      <w:r w:rsidRPr="002861E6">
        <w:rPr>
          <w:sz w:val="24"/>
          <w:szCs w:val="24"/>
          <w:lang w:val="en-GB"/>
        </w:rPr>
        <w:t xml:space="preserve">All modes of transport need to </w:t>
      </w:r>
      <w:proofErr w:type="gramStart"/>
      <w:r w:rsidRPr="002861E6">
        <w:rPr>
          <w:sz w:val="24"/>
          <w:szCs w:val="24"/>
          <w:lang w:val="en-GB"/>
        </w:rPr>
        <w:t>be equally reflected</w:t>
      </w:r>
      <w:proofErr w:type="gramEnd"/>
      <w:r w:rsidRPr="002861E6">
        <w:rPr>
          <w:sz w:val="24"/>
          <w:szCs w:val="24"/>
          <w:lang w:val="en-GB"/>
        </w:rPr>
        <w:t xml:space="preserve"> within the new TEN-T. Technological neutrality is important to reduce the overall emissions of the transport sector whilst ensuring the mobility of citizens to affordable prices.</w:t>
      </w:r>
    </w:p>
    <w:p w:rsidR="002861E6" w:rsidRPr="002861E6" w:rsidRDefault="002861E6" w:rsidP="002861E6">
      <w:pPr>
        <w:pStyle w:val="Listeavsnitt"/>
        <w:rPr>
          <w:sz w:val="24"/>
          <w:szCs w:val="24"/>
          <w:lang w:val="en-GB"/>
        </w:rPr>
      </w:pPr>
    </w:p>
    <w:p w:rsidR="002861E6" w:rsidRPr="002861E6" w:rsidRDefault="002861E6" w:rsidP="002861E6">
      <w:pPr>
        <w:pStyle w:val="Listeavsnitt"/>
        <w:numPr>
          <w:ilvl w:val="0"/>
          <w:numId w:val="4"/>
        </w:numPr>
        <w:rPr>
          <w:sz w:val="24"/>
          <w:szCs w:val="24"/>
          <w:lang w:val="en-GB"/>
        </w:rPr>
      </w:pPr>
      <w:r w:rsidRPr="002861E6">
        <w:rPr>
          <w:sz w:val="24"/>
          <w:szCs w:val="24"/>
          <w:lang w:val="en-GB"/>
        </w:rPr>
        <w:t>Rail transport plays a crucial role in decarbonising transport.</w:t>
      </w:r>
    </w:p>
    <w:p w:rsidR="00D069C4" w:rsidRPr="00D069C4" w:rsidRDefault="00D069C4" w:rsidP="00D069C4">
      <w:pPr>
        <w:rPr>
          <w:sz w:val="24"/>
          <w:szCs w:val="24"/>
          <w:lang w:val="en-GB"/>
        </w:rPr>
      </w:pPr>
      <w:r w:rsidRPr="00D069C4">
        <w:rPr>
          <w:sz w:val="24"/>
          <w:szCs w:val="24"/>
          <w:lang w:val="en-GB"/>
        </w:rPr>
        <w:t xml:space="preserve">The transport team </w:t>
      </w:r>
      <w:r>
        <w:rPr>
          <w:sz w:val="24"/>
          <w:szCs w:val="24"/>
          <w:lang w:val="en-GB"/>
        </w:rPr>
        <w:t xml:space="preserve">at the CPMR Secretariat </w:t>
      </w:r>
      <w:r w:rsidRPr="00D069C4">
        <w:rPr>
          <w:sz w:val="24"/>
          <w:szCs w:val="24"/>
          <w:lang w:val="en-GB"/>
        </w:rPr>
        <w:t xml:space="preserve">has met with the </w:t>
      </w:r>
      <w:r>
        <w:rPr>
          <w:sz w:val="24"/>
          <w:szCs w:val="24"/>
          <w:lang w:val="en-GB"/>
        </w:rPr>
        <w:t>rapporteur for this report, and m</w:t>
      </w:r>
      <w:r w:rsidRPr="00D069C4">
        <w:rPr>
          <w:sz w:val="24"/>
          <w:szCs w:val="24"/>
          <w:lang w:val="en-GB"/>
        </w:rPr>
        <w:t xml:space="preserve">anaged to integrate several key messages in line with adopted CPMR positions. </w:t>
      </w:r>
      <w:r w:rsidR="00BF776E">
        <w:rPr>
          <w:sz w:val="24"/>
          <w:szCs w:val="24"/>
          <w:lang w:val="en-GB"/>
        </w:rPr>
        <w:t>The Secretariat will try to set up a meeting between the rapporteur and representatives of the geographical commissions – incl. the BSC.</w:t>
      </w:r>
    </w:p>
    <w:p w:rsidR="007B2B21" w:rsidRDefault="00D069C4" w:rsidP="00F56639">
      <w:pPr>
        <w:rPr>
          <w:sz w:val="24"/>
          <w:szCs w:val="24"/>
          <w:lang w:val="en-GB"/>
        </w:rPr>
      </w:pPr>
      <w:r>
        <w:rPr>
          <w:sz w:val="24"/>
          <w:szCs w:val="24"/>
          <w:lang w:val="en-GB"/>
        </w:rPr>
        <w:t xml:space="preserve">The CPMR North Sea Commission Transport group has sent a letter to selected MEPs with comments to the report. </w:t>
      </w:r>
    </w:p>
    <w:p w:rsidR="00BF776E" w:rsidRPr="00BF776E" w:rsidRDefault="00BF776E">
      <w:pPr>
        <w:rPr>
          <w:sz w:val="24"/>
          <w:szCs w:val="24"/>
          <w:lang w:val="en-GB"/>
        </w:rPr>
      </w:pPr>
      <w:r w:rsidRPr="00BF776E">
        <w:rPr>
          <w:sz w:val="24"/>
          <w:szCs w:val="24"/>
          <w:lang w:val="en-GB"/>
        </w:rPr>
        <w:t xml:space="preserve">The BSC Transport Working Group will meet </w:t>
      </w:r>
      <w:r>
        <w:rPr>
          <w:sz w:val="24"/>
          <w:szCs w:val="24"/>
          <w:lang w:val="en-GB"/>
        </w:rPr>
        <w:t xml:space="preserve">online </w:t>
      </w:r>
      <w:r w:rsidRPr="00BF776E">
        <w:rPr>
          <w:sz w:val="24"/>
          <w:szCs w:val="24"/>
          <w:lang w:val="en-GB"/>
        </w:rPr>
        <w:t>on 27 October</w:t>
      </w:r>
      <w:r>
        <w:rPr>
          <w:sz w:val="24"/>
          <w:szCs w:val="24"/>
          <w:lang w:val="en-GB"/>
        </w:rPr>
        <w:t>.</w:t>
      </w:r>
    </w:p>
    <w:p w:rsidR="00F56639" w:rsidRDefault="00F56639">
      <w:pPr>
        <w:rPr>
          <w:b/>
          <w:sz w:val="24"/>
          <w:szCs w:val="24"/>
          <w:lang w:val="en-GB"/>
        </w:rPr>
      </w:pPr>
      <w:r>
        <w:rPr>
          <w:b/>
          <w:sz w:val="24"/>
          <w:szCs w:val="24"/>
          <w:lang w:val="en-GB"/>
        </w:rPr>
        <w:t xml:space="preserve">Transport in the next </w:t>
      </w:r>
      <w:proofErr w:type="spellStart"/>
      <w:r>
        <w:rPr>
          <w:b/>
          <w:sz w:val="24"/>
          <w:szCs w:val="24"/>
          <w:lang w:val="en-GB"/>
        </w:rPr>
        <w:t>Interreg</w:t>
      </w:r>
      <w:proofErr w:type="spellEnd"/>
      <w:r>
        <w:rPr>
          <w:b/>
          <w:sz w:val="24"/>
          <w:szCs w:val="24"/>
          <w:lang w:val="en-GB"/>
        </w:rPr>
        <w:t xml:space="preserve"> BSR programme</w:t>
      </w:r>
    </w:p>
    <w:p w:rsidR="00F56639" w:rsidRDefault="007476BA">
      <w:pPr>
        <w:rPr>
          <w:sz w:val="24"/>
          <w:szCs w:val="24"/>
          <w:lang w:val="en-GB"/>
        </w:rPr>
      </w:pPr>
      <w:r>
        <w:rPr>
          <w:sz w:val="24"/>
          <w:szCs w:val="24"/>
          <w:lang w:val="en-GB"/>
        </w:rPr>
        <w:t xml:space="preserve">Green and intelligent transport and mobility is one of seven topics in the proposal for the next BRS </w:t>
      </w:r>
      <w:proofErr w:type="gramStart"/>
      <w:r>
        <w:rPr>
          <w:sz w:val="24"/>
          <w:szCs w:val="24"/>
          <w:lang w:val="en-GB"/>
        </w:rPr>
        <w:t>programme which</w:t>
      </w:r>
      <w:proofErr w:type="gramEnd"/>
      <w:r>
        <w:rPr>
          <w:sz w:val="24"/>
          <w:szCs w:val="24"/>
          <w:lang w:val="en-GB"/>
        </w:rPr>
        <w:t xml:space="preserve"> has been undergoing a public consultation.  The topic could </w:t>
      </w:r>
      <w:r w:rsidR="00B044A4">
        <w:rPr>
          <w:sz w:val="24"/>
          <w:szCs w:val="24"/>
          <w:lang w:val="en-GB"/>
        </w:rPr>
        <w:t xml:space="preserve">include actions </w:t>
      </w:r>
      <w:proofErr w:type="gramStart"/>
      <w:r w:rsidR="00B044A4">
        <w:rPr>
          <w:sz w:val="24"/>
          <w:szCs w:val="24"/>
          <w:lang w:val="en-GB"/>
        </w:rPr>
        <w:t>in relation to</w:t>
      </w:r>
      <w:proofErr w:type="gramEnd"/>
      <w:r w:rsidR="00B044A4">
        <w:rPr>
          <w:sz w:val="24"/>
          <w:szCs w:val="24"/>
          <w:lang w:val="en-GB"/>
        </w:rPr>
        <w:t>:</w:t>
      </w:r>
    </w:p>
    <w:p w:rsidR="00B044A4" w:rsidRDefault="00B044A4" w:rsidP="00B044A4">
      <w:pPr>
        <w:pStyle w:val="Listeavsnitt"/>
        <w:numPr>
          <w:ilvl w:val="0"/>
          <w:numId w:val="5"/>
        </w:numPr>
        <w:rPr>
          <w:sz w:val="24"/>
          <w:szCs w:val="24"/>
          <w:lang w:val="en-GB"/>
        </w:rPr>
      </w:pPr>
      <w:r>
        <w:rPr>
          <w:sz w:val="24"/>
          <w:szCs w:val="24"/>
          <w:lang w:val="en-GB"/>
        </w:rPr>
        <w:t>Renewable fuels and e-mobility</w:t>
      </w:r>
    </w:p>
    <w:p w:rsidR="00B044A4" w:rsidRDefault="00B044A4" w:rsidP="00B044A4">
      <w:pPr>
        <w:pStyle w:val="Listeavsnitt"/>
        <w:numPr>
          <w:ilvl w:val="0"/>
          <w:numId w:val="5"/>
        </w:numPr>
        <w:rPr>
          <w:sz w:val="24"/>
          <w:szCs w:val="24"/>
          <w:lang w:val="en-GB"/>
        </w:rPr>
      </w:pPr>
      <w:r>
        <w:rPr>
          <w:sz w:val="24"/>
          <w:szCs w:val="24"/>
          <w:lang w:val="en-GB"/>
        </w:rPr>
        <w:t>Common standards for harmonisation of transport systems to ensure compatibility of green solutions along transport corridors and borders</w:t>
      </w:r>
    </w:p>
    <w:p w:rsidR="00B044A4" w:rsidRDefault="00B044A4" w:rsidP="00B044A4">
      <w:pPr>
        <w:pStyle w:val="Listeavsnitt"/>
        <w:numPr>
          <w:ilvl w:val="0"/>
          <w:numId w:val="5"/>
        </w:numPr>
        <w:rPr>
          <w:sz w:val="24"/>
          <w:szCs w:val="24"/>
          <w:lang w:val="en-GB"/>
        </w:rPr>
      </w:pPr>
      <w:r>
        <w:rPr>
          <w:sz w:val="24"/>
          <w:szCs w:val="24"/>
          <w:lang w:val="en-GB"/>
        </w:rPr>
        <w:t xml:space="preserve">Multimodal transport as an integrated service using digital tools </w:t>
      </w:r>
    </w:p>
    <w:p w:rsidR="00B044A4" w:rsidRDefault="00B044A4" w:rsidP="00B044A4">
      <w:pPr>
        <w:pStyle w:val="Listeavsnitt"/>
        <w:numPr>
          <w:ilvl w:val="0"/>
          <w:numId w:val="5"/>
        </w:numPr>
        <w:rPr>
          <w:sz w:val="24"/>
          <w:szCs w:val="24"/>
          <w:lang w:val="en-GB"/>
        </w:rPr>
      </w:pPr>
      <w:r>
        <w:rPr>
          <w:sz w:val="24"/>
          <w:szCs w:val="24"/>
          <w:lang w:val="en-GB"/>
        </w:rPr>
        <w:t>Urban and regional transport and spatial planning adapting to vehicle and service innovation (e.g. autonomous and shared mobility solutions)</w:t>
      </w:r>
    </w:p>
    <w:p w:rsidR="00B044A4" w:rsidRPr="00B044A4" w:rsidRDefault="00B044A4" w:rsidP="00B044A4">
      <w:pPr>
        <w:pStyle w:val="Listeavsnitt"/>
        <w:numPr>
          <w:ilvl w:val="0"/>
          <w:numId w:val="5"/>
        </w:numPr>
        <w:rPr>
          <w:sz w:val="24"/>
          <w:szCs w:val="24"/>
          <w:lang w:val="en-GB"/>
        </w:rPr>
      </w:pPr>
      <w:r>
        <w:rPr>
          <w:sz w:val="24"/>
          <w:szCs w:val="24"/>
          <w:lang w:val="en-GB"/>
        </w:rPr>
        <w:t>Testing and applying digital solutions for regulating transport flows and optimising public transport lines</w:t>
      </w:r>
    </w:p>
    <w:p w:rsidR="007476BA" w:rsidRPr="007476BA" w:rsidRDefault="007476BA">
      <w:pPr>
        <w:rPr>
          <w:sz w:val="24"/>
          <w:szCs w:val="24"/>
          <w:lang w:val="en-GB"/>
        </w:rPr>
      </w:pPr>
    </w:p>
    <w:p w:rsidR="00F148CD" w:rsidRPr="00F56639" w:rsidRDefault="00F148CD">
      <w:pPr>
        <w:rPr>
          <w:b/>
          <w:sz w:val="24"/>
          <w:szCs w:val="24"/>
          <w:lang w:val="en-GB"/>
        </w:rPr>
      </w:pPr>
    </w:p>
    <w:sectPr w:rsidR="00F148CD" w:rsidRPr="00F56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15A"/>
    <w:multiLevelType w:val="hybridMultilevel"/>
    <w:tmpl w:val="84D21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E639F7"/>
    <w:multiLevelType w:val="hybridMultilevel"/>
    <w:tmpl w:val="0ABE55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5B25C33"/>
    <w:multiLevelType w:val="hybridMultilevel"/>
    <w:tmpl w:val="9D9E5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B1B594C"/>
    <w:multiLevelType w:val="hybridMultilevel"/>
    <w:tmpl w:val="09706E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C6"/>
    <w:rsid w:val="001000C6"/>
    <w:rsid w:val="002861E6"/>
    <w:rsid w:val="006C2589"/>
    <w:rsid w:val="007476BA"/>
    <w:rsid w:val="007B2B21"/>
    <w:rsid w:val="00B044A4"/>
    <w:rsid w:val="00BF776E"/>
    <w:rsid w:val="00C827CD"/>
    <w:rsid w:val="00D069C4"/>
    <w:rsid w:val="00F148CD"/>
    <w:rsid w:val="00F566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D1C4"/>
  <w15:chartTrackingRefBased/>
  <w15:docId w15:val="{A71AF039-A59A-4189-8CCE-B43C21E4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56639"/>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28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72080">
      <w:bodyDiv w:val="1"/>
      <w:marLeft w:val="0"/>
      <w:marRight w:val="0"/>
      <w:marTop w:val="0"/>
      <w:marBottom w:val="0"/>
      <w:divBdr>
        <w:top w:val="none" w:sz="0" w:space="0" w:color="auto"/>
        <w:left w:val="none" w:sz="0" w:space="0" w:color="auto"/>
        <w:bottom w:val="none" w:sz="0" w:space="0" w:color="auto"/>
        <w:right w:val="none" w:sz="0" w:space="0" w:color="auto"/>
      </w:divBdr>
    </w:div>
    <w:div w:id="1182277407">
      <w:bodyDiv w:val="1"/>
      <w:marLeft w:val="0"/>
      <w:marRight w:val="0"/>
      <w:marTop w:val="0"/>
      <w:marBottom w:val="0"/>
      <w:divBdr>
        <w:top w:val="none" w:sz="0" w:space="0" w:color="auto"/>
        <w:left w:val="none" w:sz="0" w:space="0" w:color="auto"/>
        <w:bottom w:val="none" w:sz="0" w:space="0" w:color="auto"/>
        <w:right w:val="none" w:sz="0" w:space="0" w:color="auto"/>
      </w:divBdr>
    </w:div>
    <w:div w:id="13798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1114</Words>
  <Characters>5905</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 Jon Halvard</dc:creator>
  <cp:keywords/>
  <dc:description/>
  <cp:lastModifiedBy>Eide, Jon Halvard</cp:lastModifiedBy>
  <cp:revision>6</cp:revision>
  <dcterms:created xsi:type="dcterms:W3CDTF">2020-09-18T08:49:00Z</dcterms:created>
  <dcterms:modified xsi:type="dcterms:W3CDTF">2020-09-18T10:22:00Z</dcterms:modified>
</cp:coreProperties>
</file>